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69"/>
        <w:tblW w:w="0" w:type="auto"/>
        <w:tblInd w:w="308" w:type="dxa"/>
        <w:tblLayout w:type="fixed"/>
        <w:tblLook w:val="04A0" w:firstRow="1" w:lastRow="0" w:firstColumn="1" w:lastColumn="0" w:noHBand="0" w:noVBand="1"/>
      </w:tblPr>
      <w:tblGrid>
        <w:gridCol w:w="734"/>
        <w:gridCol w:w="3365"/>
        <w:gridCol w:w="10281"/>
        <w:gridCol w:w="508"/>
      </w:tblGrid>
      <w:tr>
        <w:tblPrEx/>
        <w:trPr>
          <w:trHeight w:val="255"/>
        </w:trPr>
        <w:tc>
          <w:tcPr>
            <w:tcW w:w="734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336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10281" w:type="dxa"/>
            <w:vAlign w:val="bottom"/>
            <w:textDirection w:val="lrTb"/>
            <w:noWrap w:val="false"/>
          </w:tcPr>
          <w:p>
            <w:pPr>
              <w:pStyle w:val="643"/>
              <w:ind w:left="5374" w:right="-108"/>
              <w:jc w:val="left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</w:t>
            </w:r>
            <w:r>
              <w:rPr>
                <w:rFonts w:ascii="FreeSerif" w:hAnsi="FreeSerif" w:eastAsia="FreeSerif" w:cs="FreeSerif"/>
              </w:rPr>
              <w:t xml:space="preserve">риложение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08" w:type="dxa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5"/>
        </w:trPr>
        <w:tc>
          <w:tcPr>
            <w:tcW w:w="734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336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10281" w:type="dxa"/>
            <w:vAlign w:val="bottom"/>
            <w:textDirection w:val="lrTb"/>
            <w:noWrap w:val="false"/>
          </w:tcPr>
          <w:p>
            <w:pPr>
              <w:ind w:left="5374" w:right="-108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 </w:t>
            </w:r>
            <w:r>
              <w:rPr>
                <w:rFonts w:ascii="FreeSerif" w:hAnsi="FreeSerif" w:eastAsia="FreeSerif" w:cs="FreeSerif"/>
                <w:sz w:val="28"/>
              </w:rPr>
              <w:t xml:space="preserve">Прогнозному плану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ind w:left="5374" w:right="-108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(п</w:t>
            </w:r>
            <w:r>
              <w:rPr>
                <w:rFonts w:ascii="FreeSerif" w:hAnsi="FreeSerif" w:eastAsia="FreeSerif" w:cs="FreeSerif"/>
                <w:sz w:val="28"/>
              </w:rPr>
              <w:t xml:space="preserve">рограмме</w:t>
            </w:r>
            <w:r>
              <w:rPr>
                <w:rFonts w:ascii="FreeSerif" w:hAnsi="FreeSerif" w:eastAsia="FreeSerif" w:cs="FreeSerif"/>
                <w:sz w:val="28"/>
              </w:rPr>
              <w:t xml:space="preserve">)</w:t>
            </w:r>
            <w:r>
              <w:rPr>
                <w:rFonts w:ascii="FreeSerif" w:hAnsi="FreeSerif" w:eastAsia="FreeSerif" w:cs="FreeSerif"/>
                <w:sz w:val="28"/>
              </w:rPr>
              <w:t xml:space="preserve"> приватизации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508" w:type="dxa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255"/>
        </w:trPr>
        <w:tc>
          <w:tcPr>
            <w:tcW w:w="734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336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10281" w:type="dxa"/>
            <w:vAlign w:val="bottom"/>
            <w:textDirection w:val="lrTb"/>
            <w:noWrap w:val="false"/>
          </w:tcPr>
          <w:p>
            <w:pPr>
              <w:ind w:left="5374" w:right="-108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муниципального имущества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ind w:left="5374" w:right="-108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Ленинградский муниципальный округ </w:t>
            </w:r>
            <w:r>
              <w:rPr>
                <w:rFonts w:ascii="FreeSerif" w:hAnsi="FreeSerif" w:cs="FreeSerif"/>
                <w:sz w:val="28"/>
              </w:rPr>
            </w:r>
          </w:p>
          <w:p>
            <w:pPr>
              <w:ind w:left="5374" w:right="-108"/>
              <w:widowControl/>
              <w:rPr>
                <w:rFonts w:ascii="FreeSerif" w:hAnsi="FreeSerif" w:cs="FreeSerif"/>
                <w:sz w:val="28"/>
              </w:rPr>
            </w:pPr>
            <w:r>
              <w:rPr>
                <w:rFonts w:ascii="FreeSerif" w:hAnsi="FreeSerif" w:eastAsia="FreeSerif" w:cs="FreeSerif"/>
                <w:sz w:val="28"/>
              </w:rPr>
              <w:t xml:space="preserve">Краснодарского края</w:t>
            </w:r>
            <w:r>
              <w:rPr>
                <w:rFonts w:ascii="FreeSerif" w:hAnsi="FreeSerif" w:eastAsia="FreeSerif" w:cs="FreeSerif"/>
                <w:sz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</w:rPr>
              <w:t xml:space="preserve">на </w:t>
            </w:r>
            <w:r>
              <w:rPr>
                <w:rFonts w:ascii="FreeSerif" w:hAnsi="FreeSerif" w:eastAsia="FreeSerif" w:cs="FreeSerif"/>
                <w:sz w:val="28"/>
              </w:rPr>
              <w:t xml:space="preserve">2026 </w:t>
            </w:r>
            <w:r>
              <w:rPr>
                <w:rFonts w:ascii="FreeSerif" w:hAnsi="FreeSerif" w:eastAsia="FreeSerif" w:cs="FreeSerif"/>
                <w:sz w:val="28"/>
              </w:rPr>
              <w:t xml:space="preserve">г</w:t>
            </w:r>
            <w:r>
              <w:rPr>
                <w:rFonts w:ascii="FreeSerif" w:hAnsi="FreeSerif" w:eastAsia="FreeSerif" w:cs="FreeSerif"/>
                <w:sz w:val="28"/>
              </w:rPr>
              <w:t xml:space="preserve">.</w:t>
            </w:r>
            <w:r>
              <w:rPr>
                <w:rFonts w:ascii="FreeSerif" w:hAnsi="FreeSerif" w:cs="FreeSerif"/>
                <w:sz w:val="28"/>
              </w:rPr>
            </w:r>
          </w:p>
        </w:tc>
        <w:tc>
          <w:tcPr>
            <w:tcW w:w="508" w:type="dxa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15"/>
        </w:trPr>
        <w:tc>
          <w:tcPr>
            <w:gridSpan w:val="4"/>
            <w:tcW w:w="14888" w:type="dxa"/>
            <w:vAlign w:val="bottom"/>
            <w:textDirection w:val="lrTb"/>
            <w:noWrap w:val="false"/>
          </w:tcPr>
          <w:p>
            <w:pPr>
              <w:jc w:val="center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jc w:val="center"/>
              <w:widowControl/>
              <w:rPr>
                <w:rFonts w:ascii="FreeSerif" w:hAnsi="FreeSerif" w:cs="FreeSerif"/>
                <w:b/>
                <w:sz w:val="28"/>
              </w:rPr>
            </w:pPr>
            <w:r>
              <w:rPr>
                <w:rFonts w:ascii="FreeSerif" w:hAnsi="FreeSerif" w:eastAsia="FreeSerif" w:cs="FreeSerif"/>
                <w:b/>
                <w:sz w:val="28"/>
              </w:rPr>
              <w:fldChar w:fldCharType="begin"/>
            </w:r>
            <w:r>
              <w:rPr>
                <w:rFonts w:ascii="FreeSerif" w:hAnsi="FreeSerif" w:eastAsia="FreeSerif" w:cs="FreeSerif"/>
                <w:b/>
                <w:sz w:val="28"/>
              </w:rPr>
              <w:instrText xml:space="preserve">HYPERLINK "consultantplus://offline/ref=3AEDC99338AC3C5A7EF02C6C659ECDF6A36BCA65A9C49E308155A225D16DEA0F84E1B2322FD63CE5596A9EQ9K1J"</w:instrText>
            </w:r>
            <w:r>
              <w:rPr>
                <w:rFonts w:ascii="FreeSerif" w:hAnsi="FreeSerif" w:eastAsia="FreeSerif" w:cs="FreeSerif"/>
                <w:b/>
                <w:sz w:val="28"/>
              </w:rPr>
              <w:fldChar w:fldCharType="separate"/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Перечень</w:t>
            </w:r>
            <w:r>
              <w:rPr>
                <w:rFonts w:ascii="FreeSerif" w:hAnsi="FreeSerif" w:eastAsia="FreeSerif" w:cs="FreeSerif"/>
                <w:b/>
                <w:sz w:val="28"/>
              </w:rPr>
              <w:fldChar w:fldCharType="end"/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 объектов муниципальной собственности, подлежащих приватизации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 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в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 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20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26 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г</w:t>
            </w:r>
            <w:r>
              <w:rPr>
                <w:rFonts w:ascii="FreeSerif" w:hAnsi="FreeSerif" w:eastAsia="FreeSerif" w:cs="FreeSerif"/>
                <w:b/>
                <w:sz w:val="28"/>
              </w:rPr>
              <w:t xml:space="preserve">.</w:t>
            </w:r>
            <w:r>
              <w:rPr>
                <w:rFonts w:ascii="FreeSerif" w:hAnsi="FreeSerif" w:cs="FreeSerif"/>
                <w:b/>
                <w:sz w:val="28"/>
              </w:rPr>
            </w:r>
          </w:p>
        </w:tc>
      </w:tr>
    </w:tbl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tbl>
      <w:tblPr>
        <w:tblStyle w:val="669"/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34"/>
        <w:gridCol w:w="3290"/>
        <w:gridCol w:w="3332"/>
        <w:gridCol w:w="297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4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  <w:t xml:space="preserve">объектов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муниципальной собственности</w:t>
            </w:r>
            <w:r>
              <w:rPr>
                <w:rFonts w:ascii="FreeSerif" w:hAnsi="FreeSerif" w:eastAsia="FreeSerif" w:cs="FreeSerif"/>
              </w:rPr>
              <w:t xml:space="preserve">, адрес местонахождения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0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Основные технические характеристики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Способ приватизации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Срок приватизации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Нежилое здание, столовая,  Краснодарский край, Ленинградский район, х.Куликовский, ул.Советов, дом № 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0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кадастровый номер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23:19:0202027:31, общей площадью 336 кв.м.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ind w:left="-108"/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Аукцион в электронной форме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1-3 квартал 2026 г.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Земельный участок, </w:t>
            </w:r>
            <w:r>
              <w:rPr>
                <w:rFonts w:ascii="FreeSerif" w:hAnsi="FreeSerif" w:eastAsia="FreeSerif" w:cs="FreeSerif"/>
              </w:rPr>
              <w:t xml:space="preserve">Краснодарский край, Ленинградский район, х.Куликовский, ул.Советов, 18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0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кадастровый номер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23:19:0202027:26, общей площадью 1759 кв.м.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ind w:left="-108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Аукцион в электронной форме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1-3 квартал 2026 г.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Нежилое здание, Краснодарский край, Ленинградский район, ст. Ленинградская, ул. Кооперации, дом № 137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0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кадастровый номер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23:19:0106128:131, общей площадью 262,6 кв.м.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ind w:left="-108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Аукцион в электронной форме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1-3 квартал 2026 г.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34" w:type="dxa"/>
            <w:textDirection w:val="lrTb"/>
            <w:noWrap w:val="false"/>
          </w:tcPr>
          <w:p>
            <w:pPr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Земельный участок, Краснодарский край, Ленинградский район, ст. Ленинградская, ул. Кооперации, 137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90" w:type="dxa"/>
            <w:textDirection w:val="lrTb"/>
            <w:noWrap w:val="false"/>
          </w:tcPr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кадастровый номер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23:0106128:48, общей площадью 152 кв.м.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2" w:type="dxa"/>
            <w:textDirection w:val="lrTb"/>
            <w:noWrap w:val="false"/>
          </w:tcPr>
          <w:p>
            <w:pPr>
              <w:ind w:left="-108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Аукцион в электронной форме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77" w:type="dxa"/>
            <w:textDirection w:val="lrTb"/>
            <w:noWrap w:val="false"/>
          </w:tcPr>
          <w:p>
            <w:pPr>
              <w:jc w:val="center"/>
              <w:widowControl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1-3 квартал 2026 г.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Заместитель главы </w:t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Ленинградского м</w:t>
      </w:r>
      <w:r>
        <w:rPr>
          <w:rFonts w:ascii="FreeSerif" w:hAnsi="FreeSerif" w:eastAsia="FreeSerif" w:cs="FreeSerif"/>
          <w:sz w:val="28"/>
        </w:rPr>
        <w:t xml:space="preserve">униципального</w:t>
      </w:r>
      <w:r>
        <w:rPr>
          <w:rFonts w:ascii="FreeSerif" w:hAnsi="FreeSerif" w:eastAsia="FreeSerif" w:cs="FreeSerif"/>
          <w:sz w:val="28"/>
        </w:rPr>
        <w:t xml:space="preserve"> округа</w:t>
      </w:r>
      <w:r>
        <w:rPr>
          <w:rFonts w:ascii="FreeSerif" w:hAnsi="FreeSerif" w:eastAsia="FreeSerif" w:cs="FreeSerif"/>
          <w:sz w:val="28"/>
        </w:rPr>
        <w:t xml:space="preserve">,</w:t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начальник отдела имущественных </w:t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отношений </w:t>
      </w:r>
      <w:r>
        <w:rPr>
          <w:rFonts w:ascii="FreeSerif" w:hAnsi="FreeSerif" w:eastAsia="FreeSerif" w:cs="FreeSerif"/>
          <w:sz w:val="28"/>
        </w:rPr>
        <w:t xml:space="preserve">администрации </w:t>
      </w:r>
      <w:r>
        <w:rPr>
          <w:rFonts w:ascii="FreeSerif" w:hAnsi="FreeSerif" w:eastAsia="FreeSerif" w:cs="FreeSerif"/>
          <w:sz w:val="28"/>
        </w:rPr>
        <w:t xml:space="preserve">                      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</w:rPr>
        <w:t xml:space="preserve">         </w:t>
      </w:r>
      <w:bookmarkStart w:id="1" w:name="_GoBack"/>
      <w:r>
        <w:rPr>
          <w:rFonts w:ascii="FreeSerif" w:hAnsi="FreeSerif" w:eastAsia="FreeSerif" w:cs="FreeSerif"/>
        </w:rPr>
      </w:r>
      <w:bookmarkEnd w:id="1"/>
      <w:r>
        <w:rPr>
          <w:rFonts w:ascii="FreeSerif" w:hAnsi="FreeSerif" w:eastAsia="FreeSerif" w:cs="FreeSerif"/>
          <w:sz w:val="28"/>
        </w:rPr>
        <w:t xml:space="preserve">           Р.Г. Тоцкая</w:t>
      </w:r>
      <w:r>
        <w:rPr>
          <w:rFonts w:ascii="FreeSerif" w:hAnsi="FreeSerif" w:cs="FreeSerif"/>
          <w:sz w:val="28"/>
        </w:rPr>
      </w:r>
    </w:p>
    <w:sectPr>
      <w:footnotePr/>
      <w:endnotePr/>
      <w:type w:val="nextPage"/>
      <w:pgSz w:w="16838" w:h="11906" w:orient="landscape"/>
      <w:pgMar w:top="992" w:right="1134" w:bottom="62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Verdana">
    <w:panose1 w:val="020B06060305040202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4"/>
    <w:link w:val="64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4"/>
    <w:link w:val="66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4"/>
    <w:link w:val="63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4"/>
    <w:link w:val="664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4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4"/>
    <w:link w:val="662"/>
    <w:uiPriority w:val="10"/>
    <w:rPr>
      <w:sz w:val="48"/>
      <w:szCs w:val="48"/>
    </w:rPr>
  </w:style>
  <w:style w:type="character" w:styleId="37">
    <w:name w:val="Subtitle Char"/>
    <w:basedOn w:val="624"/>
    <w:link w:val="660"/>
    <w:uiPriority w:val="11"/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4"/>
    <w:link w:val="42"/>
    <w:uiPriority w:val="99"/>
  </w:style>
  <w:style w:type="paragraph" w:styleId="44">
    <w:name w:val="Footer"/>
    <w:basedOn w:val="61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4"/>
    <w:link w:val="44"/>
    <w:uiPriority w:val="99"/>
  </w:style>
  <w:style w:type="paragraph" w:styleId="46">
    <w:name w:val="Caption"/>
    <w:basedOn w:val="618"/>
    <w:next w:val="6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4"/>
    <w:uiPriority w:val="99"/>
    <w:unhideWhenUsed/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4"/>
    <w:uiPriority w:val="99"/>
    <w:semiHidden/>
    <w:unhideWhenUsed/>
    <w:rPr>
      <w:vertAlign w:val="superscript"/>
    </w:rPr>
  </w:style>
  <w:style w:type="paragraph" w:styleId="190">
    <w:name w:val="TOC Heading"/>
    <w:uiPriority w:val="39"/>
    <w:unhideWhenUsed/>
  </w:style>
  <w:style w:type="paragraph" w:styleId="191">
    <w:name w:val="table of figures"/>
    <w:basedOn w:val="618"/>
    <w:next w:val="618"/>
    <w:uiPriority w:val="99"/>
    <w:unhideWhenUsed/>
    <w:pPr>
      <w:spacing w:after="0" w:afterAutospacing="0"/>
    </w:pPr>
  </w:style>
  <w:style w:type="paragraph" w:styleId="617" w:default="1">
    <w:name w:val="Normal"/>
    <w:link w:val="618"/>
    <w:uiPriority w:val="0"/>
    <w:qFormat/>
    <w:rPr>
      <w:sz w:val="24"/>
    </w:rPr>
  </w:style>
  <w:style w:type="character" w:styleId="618" w:default="1">
    <w:name w:val="Normal"/>
    <w:link w:val="617"/>
    <w:rPr>
      <w:sz w:val="24"/>
    </w:rPr>
  </w:style>
  <w:style w:type="paragraph" w:styleId="619">
    <w:name w:val="toc 2"/>
    <w:next w:val="617"/>
    <w:link w:val="620"/>
    <w:uiPriority w:val="39"/>
    <w:pPr>
      <w:ind w:left="200" w:firstLine="0"/>
      <w:jc w:val="left"/>
      <w:widowControl/>
    </w:pPr>
    <w:rPr>
      <w:rFonts w:ascii="XO Thames" w:hAnsi="XO Thames"/>
      <w:sz w:val="28"/>
    </w:rPr>
  </w:style>
  <w:style w:type="character" w:styleId="620">
    <w:name w:val="toc 2"/>
    <w:link w:val="619"/>
    <w:rPr>
      <w:rFonts w:ascii="XO Thames" w:hAnsi="XO Thames"/>
      <w:sz w:val="28"/>
    </w:rPr>
  </w:style>
  <w:style w:type="paragraph" w:styleId="621">
    <w:name w:val="toc 4"/>
    <w:next w:val="617"/>
    <w:link w:val="622"/>
    <w:uiPriority w:val="39"/>
    <w:pPr>
      <w:ind w:left="600" w:firstLine="0"/>
      <w:jc w:val="left"/>
      <w:widowControl/>
    </w:pPr>
    <w:rPr>
      <w:rFonts w:ascii="XO Thames" w:hAnsi="XO Thames"/>
      <w:sz w:val="28"/>
    </w:rPr>
  </w:style>
  <w:style w:type="character" w:styleId="622">
    <w:name w:val="toc 4"/>
    <w:link w:val="621"/>
    <w:rPr>
      <w:rFonts w:ascii="XO Thames" w:hAnsi="XO Thames"/>
      <w:sz w:val="28"/>
    </w:rPr>
  </w:style>
  <w:style w:type="paragraph" w:styleId="623">
    <w:name w:val="Default Paragraph Font"/>
    <w:link w:val="624"/>
  </w:style>
  <w:style w:type="character" w:styleId="624">
    <w:name w:val="Default Paragraph Font"/>
    <w:link w:val="623"/>
  </w:style>
  <w:style w:type="paragraph" w:styleId="625">
    <w:name w:val="Знак"/>
    <w:basedOn w:val="617"/>
    <w:link w:val="626"/>
    <w:pPr>
      <w:spacing w:after="160" w:line="240" w:lineRule="exact"/>
      <w:widowControl/>
    </w:pPr>
    <w:rPr>
      <w:rFonts w:ascii="Verdana" w:hAnsi="Verdana"/>
      <w:sz w:val="20"/>
    </w:rPr>
  </w:style>
  <w:style w:type="character" w:styleId="626">
    <w:name w:val="Знак"/>
    <w:basedOn w:val="618"/>
    <w:link w:val="625"/>
    <w:rPr>
      <w:rFonts w:ascii="Verdana" w:hAnsi="Verdana"/>
      <w:sz w:val="20"/>
    </w:rPr>
  </w:style>
  <w:style w:type="paragraph" w:styleId="627">
    <w:name w:val="toc 6"/>
    <w:next w:val="617"/>
    <w:link w:val="628"/>
    <w:uiPriority w:val="39"/>
    <w:pPr>
      <w:ind w:left="1000" w:firstLine="0"/>
      <w:jc w:val="left"/>
      <w:widowControl/>
    </w:pPr>
    <w:rPr>
      <w:rFonts w:ascii="XO Thames" w:hAnsi="XO Thames"/>
      <w:sz w:val="28"/>
    </w:rPr>
  </w:style>
  <w:style w:type="character" w:styleId="628">
    <w:name w:val="toc 6"/>
    <w:link w:val="627"/>
    <w:rPr>
      <w:rFonts w:ascii="XO Thames" w:hAnsi="XO Thames"/>
      <w:sz w:val="28"/>
    </w:rPr>
  </w:style>
  <w:style w:type="paragraph" w:styleId="629">
    <w:name w:val="toc 7"/>
    <w:next w:val="617"/>
    <w:link w:val="630"/>
    <w:uiPriority w:val="39"/>
    <w:pPr>
      <w:ind w:left="1200" w:firstLine="0"/>
      <w:jc w:val="left"/>
      <w:widowControl/>
    </w:pPr>
    <w:rPr>
      <w:rFonts w:ascii="XO Thames" w:hAnsi="XO Thames"/>
      <w:sz w:val="28"/>
    </w:rPr>
  </w:style>
  <w:style w:type="character" w:styleId="630">
    <w:name w:val="toc 7"/>
    <w:link w:val="629"/>
    <w:rPr>
      <w:rFonts w:ascii="XO Thames" w:hAnsi="XO Thames"/>
      <w:sz w:val="28"/>
    </w:rPr>
  </w:style>
  <w:style w:type="paragraph" w:styleId="631">
    <w:name w:val="Знак"/>
    <w:basedOn w:val="617"/>
    <w:link w:val="632"/>
    <w:pPr>
      <w:spacing w:after="160" w:line="240" w:lineRule="exact"/>
      <w:widowControl/>
    </w:pPr>
    <w:rPr>
      <w:rFonts w:ascii="Verdana" w:hAnsi="Verdana"/>
      <w:sz w:val="20"/>
    </w:rPr>
  </w:style>
  <w:style w:type="character" w:styleId="632">
    <w:name w:val="Знак"/>
    <w:basedOn w:val="618"/>
    <w:link w:val="631"/>
    <w:rPr>
      <w:rFonts w:ascii="Verdana" w:hAnsi="Verdana"/>
      <w:sz w:val="20"/>
    </w:rPr>
  </w:style>
  <w:style w:type="paragraph" w:styleId="633">
    <w:name w:val="Endnote"/>
    <w:link w:val="634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34">
    <w:name w:val="Endnote"/>
    <w:link w:val="633"/>
    <w:rPr>
      <w:rFonts w:ascii="XO Thames" w:hAnsi="XO Thames"/>
      <w:sz w:val="22"/>
    </w:rPr>
  </w:style>
  <w:style w:type="paragraph" w:styleId="635">
    <w:name w:val="Heading 3"/>
    <w:next w:val="617"/>
    <w:link w:val="636"/>
    <w:uiPriority w:val="9"/>
    <w:qFormat/>
    <w:pPr>
      <w:jc w:val="both"/>
      <w:spacing w:before="120" w:after="120"/>
      <w:widowControl/>
      <w:outlineLvl w:val="2"/>
    </w:pPr>
    <w:rPr>
      <w:rFonts w:ascii="XO Thames" w:hAnsi="XO Thames"/>
      <w:b/>
      <w:sz w:val="26"/>
    </w:rPr>
  </w:style>
  <w:style w:type="character" w:styleId="636">
    <w:name w:val="Heading 3"/>
    <w:link w:val="635"/>
    <w:rPr>
      <w:rFonts w:ascii="XO Thames" w:hAnsi="XO Thames"/>
      <w:b/>
      <w:sz w:val="26"/>
    </w:rPr>
  </w:style>
  <w:style w:type="paragraph" w:styleId="637">
    <w:name w:val="Знак"/>
    <w:basedOn w:val="617"/>
    <w:link w:val="638"/>
    <w:pPr>
      <w:spacing w:after="160" w:line="240" w:lineRule="exact"/>
      <w:widowControl/>
    </w:pPr>
    <w:rPr>
      <w:rFonts w:ascii="Verdana" w:hAnsi="Verdana"/>
      <w:sz w:val="20"/>
    </w:rPr>
  </w:style>
  <w:style w:type="character" w:styleId="638">
    <w:name w:val="Знак"/>
    <w:basedOn w:val="618"/>
    <w:link w:val="637"/>
    <w:rPr>
      <w:rFonts w:ascii="Verdana" w:hAnsi="Verdana"/>
      <w:sz w:val="20"/>
    </w:rPr>
  </w:style>
  <w:style w:type="paragraph" w:styleId="639">
    <w:name w:val="toc 3"/>
    <w:next w:val="617"/>
    <w:link w:val="640"/>
    <w:uiPriority w:val="39"/>
    <w:pPr>
      <w:ind w:left="400" w:firstLine="0"/>
      <w:jc w:val="left"/>
      <w:widowControl/>
    </w:pPr>
    <w:rPr>
      <w:rFonts w:ascii="XO Thames" w:hAnsi="XO Thames"/>
      <w:sz w:val="28"/>
    </w:rPr>
  </w:style>
  <w:style w:type="character" w:styleId="640">
    <w:name w:val="toc 3"/>
    <w:link w:val="639"/>
    <w:rPr>
      <w:rFonts w:ascii="XO Thames" w:hAnsi="XO Thames"/>
      <w:sz w:val="28"/>
    </w:rPr>
  </w:style>
  <w:style w:type="paragraph" w:styleId="641">
    <w:name w:val="Heading 5"/>
    <w:next w:val="617"/>
    <w:link w:val="642"/>
    <w:uiPriority w:val="9"/>
    <w:qFormat/>
    <w:pPr>
      <w:jc w:val="both"/>
      <w:spacing w:before="120" w:after="120"/>
      <w:widowControl/>
      <w:outlineLvl w:val="4"/>
    </w:pPr>
    <w:rPr>
      <w:rFonts w:ascii="XO Thames" w:hAnsi="XO Thames"/>
      <w:b/>
      <w:sz w:val="22"/>
    </w:rPr>
  </w:style>
  <w:style w:type="character" w:styleId="642">
    <w:name w:val="Heading 5"/>
    <w:link w:val="641"/>
    <w:rPr>
      <w:rFonts w:ascii="XO Thames" w:hAnsi="XO Thames"/>
      <w:b/>
      <w:sz w:val="22"/>
    </w:rPr>
  </w:style>
  <w:style w:type="paragraph" w:styleId="643">
    <w:name w:val="Heading 1"/>
    <w:basedOn w:val="617"/>
    <w:next w:val="617"/>
    <w:link w:val="644"/>
    <w:uiPriority w:val="9"/>
    <w:qFormat/>
    <w:pPr>
      <w:ind w:left="6993"/>
      <w:jc w:val="center"/>
      <w:keepNext/>
      <w:widowControl/>
      <w:outlineLvl w:val="0"/>
    </w:pPr>
    <w:rPr>
      <w:sz w:val="28"/>
    </w:rPr>
  </w:style>
  <w:style w:type="character" w:styleId="644">
    <w:name w:val="Heading 1"/>
    <w:basedOn w:val="618"/>
    <w:link w:val="643"/>
    <w:rPr>
      <w:sz w:val="28"/>
    </w:rPr>
  </w:style>
  <w:style w:type="paragraph" w:styleId="645">
    <w:name w:val="Hyperlink"/>
    <w:link w:val="646"/>
    <w:rPr>
      <w:color w:val="0000ff"/>
      <w:u w:val="single"/>
    </w:rPr>
  </w:style>
  <w:style w:type="character" w:styleId="646">
    <w:name w:val="Hyperlink"/>
    <w:link w:val="645"/>
    <w:rPr>
      <w:color w:val="0000ff"/>
      <w:u w:val="single"/>
    </w:rPr>
  </w:style>
  <w:style w:type="paragraph" w:styleId="647">
    <w:name w:val="Footnote"/>
    <w:link w:val="648"/>
    <w:pPr>
      <w:ind w:left="0" w:firstLine="851"/>
      <w:jc w:val="both"/>
      <w:widowControl/>
    </w:pPr>
    <w:rPr>
      <w:rFonts w:ascii="XO Thames" w:hAnsi="XO Thames"/>
      <w:sz w:val="22"/>
    </w:rPr>
  </w:style>
  <w:style w:type="character" w:styleId="648">
    <w:name w:val="Footnote"/>
    <w:link w:val="647"/>
    <w:rPr>
      <w:rFonts w:ascii="XO Thames" w:hAnsi="XO Thames"/>
      <w:sz w:val="22"/>
    </w:rPr>
  </w:style>
  <w:style w:type="paragraph" w:styleId="649">
    <w:name w:val="toc 1"/>
    <w:next w:val="617"/>
    <w:link w:val="650"/>
    <w:uiPriority w:val="39"/>
    <w:pPr>
      <w:ind w:left="0" w:firstLine="0"/>
      <w:jc w:val="left"/>
      <w:widowControl/>
    </w:pPr>
    <w:rPr>
      <w:rFonts w:ascii="XO Thames" w:hAnsi="XO Thames"/>
      <w:b/>
      <w:sz w:val="28"/>
    </w:rPr>
  </w:style>
  <w:style w:type="character" w:styleId="650">
    <w:name w:val="toc 1"/>
    <w:link w:val="649"/>
    <w:rPr>
      <w:rFonts w:ascii="XO Thames" w:hAnsi="XO Thames"/>
      <w:b/>
      <w:sz w:val="28"/>
    </w:rPr>
  </w:style>
  <w:style w:type="paragraph" w:styleId="651">
    <w:name w:val="Header and Footer"/>
    <w:link w:val="65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652">
    <w:name w:val="Header and Footer"/>
    <w:link w:val="651"/>
    <w:rPr>
      <w:rFonts w:ascii="XO Thames" w:hAnsi="XO Thames"/>
      <w:sz w:val="28"/>
    </w:rPr>
  </w:style>
  <w:style w:type="paragraph" w:styleId="653">
    <w:name w:val="toc 9"/>
    <w:next w:val="617"/>
    <w:link w:val="654"/>
    <w:uiPriority w:val="39"/>
    <w:pPr>
      <w:ind w:left="1600" w:firstLine="0"/>
      <w:jc w:val="left"/>
      <w:widowControl/>
    </w:pPr>
    <w:rPr>
      <w:rFonts w:ascii="XO Thames" w:hAnsi="XO Thames"/>
      <w:sz w:val="28"/>
    </w:rPr>
  </w:style>
  <w:style w:type="character" w:styleId="654">
    <w:name w:val="toc 9"/>
    <w:link w:val="653"/>
    <w:rPr>
      <w:rFonts w:ascii="XO Thames" w:hAnsi="XO Thames"/>
      <w:sz w:val="28"/>
    </w:rPr>
  </w:style>
  <w:style w:type="paragraph" w:styleId="655">
    <w:name w:val="toc 8"/>
    <w:next w:val="617"/>
    <w:link w:val="656"/>
    <w:uiPriority w:val="39"/>
    <w:pPr>
      <w:ind w:left="1400" w:firstLine="0"/>
      <w:jc w:val="left"/>
      <w:widowControl/>
    </w:pPr>
    <w:rPr>
      <w:rFonts w:ascii="XO Thames" w:hAnsi="XO Thames"/>
      <w:sz w:val="28"/>
    </w:rPr>
  </w:style>
  <w:style w:type="character" w:styleId="656">
    <w:name w:val="toc 8"/>
    <w:link w:val="655"/>
    <w:rPr>
      <w:rFonts w:ascii="XO Thames" w:hAnsi="XO Thames"/>
      <w:sz w:val="28"/>
    </w:rPr>
  </w:style>
  <w:style w:type="paragraph" w:styleId="657">
    <w:name w:val="toc 5"/>
    <w:next w:val="617"/>
    <w:link w:val="658"/>
    <w:uiPriority w:val="39"/>
    <w:pPr>
      <w:ind w:left="800" w:firstLine="0"/>
      <w:jc w:val="left"/>
      <w:widowControl/>
    </w:pPr>
    <w:rPr>
      <w:rFonts w:ascii="XO Thames" w:hAnsi="XO Thames"/>
      <w:sz w:val="28"/>
    </w:rPr>
  </w:style>
  <w:style w:type="character" w:styleId="658">
    <w:name w:val="toc 5"/>
    <w:link w:val="657"/>
    <w:rPr>
      <w:rFonts w:ascii="XO Thames" w:hAnsi="XO Thames"/>
      <w:sz w:val="28"/>
    </w:rPr>
  </w:style>
  <w:style w:type="paragraph" w:styleId="659">
    <w:name w:val="Subtitle"/>
    <w:next w:val="617"/>
    <w:link w:val="660"/>
    <w:uiPriority w:val="11"/>
    <w:qFormat/>
    <w:pPr>
      <w:jc w:val="both"/>
      <w:widowControl/>
    </w:pPr>
    <w:rPr>
      <w:rFonts w:ascii="XO Thames" w:hAnsi="XO Thames"/>
      <w:i/>
      <w:sz w:val="24"/>
    </w:rPr>
  </w:style>
  <w:style w:type="character" w:styleId="660">
    <w:name w:val="Subtitle"/>
    <w:link w:val="659"/>
    <w:rPr>
      <w:rFonts w:ascii="XO Thames" w:hAnsi="XO Thames"/>
      <w:i/>
      <w:sz w:val="24"/>
    </w:rPr>
  </w:style>
  <w:style w:type="paragraph" w:styleId="661">
    <w:name w:val="Title"/>
    <w:next w:val="617"/>
    <w:link w:val="662"/>
    <w:uiPriority w:val="10"/>
    <w:qFormat/>
    <w:pPr>
      <w:jc w:val="center"/>
      <w:spacing w:before="567" w:after="567"/>
      <w:widowControl/>
    </w:pPr>
    <w:rPr>
      <w:rFonts w:ascii="XO Thames" w:hAnsi="XO Thames"/>
      <w:b/>
      <w:caps/>
      <w:sz w:val="40"/>
    </w:rPr>
  </w:style>
  <w:style w:type="character" w:styleId="662">
    <w:name w:val="Title"/>
    <w:link w:val="661"/>
    <w:rPr>
      <w:rFonts w:ascii="XO Thames" w:hAnsi="XO Thames"/>
      <w:b/>
      <w:caps/>
      <w:sz w:val="40"/>
    </w:rPr>
  </w:style>
  <w:style w:type="paragraph" w:styleId="663">
    <w:name w:val="Heading 4"/>
    <w:next w:val="617"/>
    <w:link w:val="664"/>
    <w:uiPriority w:val="9"/>
    <w:qFormat/>
    <w:pPr>
      <w:jc w:val="both"/>
      <w:spacing w:before="120" w:after="120"/>
      <w:widowControl/>
      <w:outlineLvl w:val="3"/>
    </w:pPr>
    <w:rPr>
      <w:rFonts w:ascii="XO Thames" w:hAnsi="XO Thames"/>
      <w:b/>
      <w:sz w:val="24"/>
    </w:rPr>
  </w:style>
  <w:style w:type="character" w:styleId="664">
    <w:name w:val="Heading 4"/>
    <w:link w:val="663"/>
    <w:rPr>
      <w:rFonts w:ascii="XO Thames" w:hAnsi="XO Thames"/>
      <w:b/>
      <w:sz w:val="24"/>
    </w:rPr>
  </w:style>
  <w:style w:type="paragraph" w:styleId="665">
    <w:name w:val="Heading 2"/>
    <w:next w:val="617"/>
    <w:link w:val="666"/>
    <w:uiPriority w:val="9"/>
    <w:qFormat/>
    <w:pPr>
      <w:jc w:val="both"/>
      <w:spacing w:before="120" w:after="120"/>
      <w:widowControl/>
      <w:outlineLvl w:val="1"/>
    </w:pPr>
    <w:rPr>
      <w:rFonts w:ascii="XO Thames" w:hAnsi="XO Thames"/>
      <w:b/>
      <w:sz w:val="28"/>
    </w:rPr>
  </w:style>
  <w:style w:type="character" w:styleId="666">
    <w:name w:val="Heading 2"/>
    <w:link w:val="665"/>
    <w:rPr>
      <w:rFonts w:ascii="XO Thames" w:hAnsi="XO Thames"/>
      <w:b/>
      <w:sz w:val="28"/>
    </w:rPr>
  </w:style>
  <w:style w:type="paragraph" w:styleId="667">
    <w:name w:val="Balloon Text"/>
    <w:basedOn w:val="617"/>
    <w:link w:val="668"/>
    <w:rPr>
      <w:rFonts w:ascii="Tahoma" w:hAnsi="Tahoma"/>
      <w:sz w:val="16"/>
    </w:rPr>
  </w:style>
  <w:style w:type="character" w:styleId="668">
    <w:name w:val="Balloon Text"/>
    <w:basedOn w:val="618"/>
    <w:link w:val="667"/>
    <w:rPr>
      <w:rFonts w:ascii="Tahoma" w:hAnsi="Tahoma"/>
      <w:sz w:val="16"/>
    </w:rPr>
  </w:style>
  <w:style w:type="table" w:styleId="669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7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2022-03-01T09:58:00Z</dcterms:created>
  <dcterms:modified xsi:type="dcterms:W3CDTF">2025-12-29T11:19:09Z</dcterms:modified>
</cp:coreProperties>
</file>